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5E" w:rsidRDefault="002B0F0D">
      <w:pPr>
        <w:pStyle w:val="ConsPlusTitlePage"/>
      </w:pPr>
      <w:r>
        <w:br/>
      </w:r>
    </w:p>
    <w:p w:rsidR="006B005E" w:rsidRDefault="006B005E">
      <w:pPr>
        <w:pStyle w:val="ConsPlusNormal"/>
        <w:outlineLvl w:val="0"/>
      </w:pPr>
    </w:p>
    <w:p w:rsidR="006B005E" w:rsidRDefault="002B0F0D">
      <w:pPr>
        <w:pStyle w:val="ConsPlusTitle"/>
        <w:jc w:val="center"/>
        <w:outlineLvl w:val="0"/>
      </w:pPr>
      <w:r>
        <w:t>АДМИНИСТРАЦИЯ БЕЛОЯРСКОГО РАЙОНА</w:t>
      </w:r>
    </w:p>
    <w:p w:rsidR="006B005E" w:rsidRDefault="006B005E">
      <w:pPr>
        <w:pStyle w:val="ConsPlusTitle"/>
        <w:jc w:val="center"/>
      </w:pPr>
    </w:p>
    <w:p w:rsidR="006B005E" w:rsidRDefault="002B0F0D">
      <w:pPr>
        <w:pStyle w:val="ConsPlusTitle"/>
        <w:jc w:val="center"/>
      </w:pPr>
      <w:r>
        <w:t>ПОСТАНОВЛЕНИЕ</w:t>
      </w:r>
    </w:p>
    <w:p w:rsidR="006B005E" w:rsidRDefault="002B0F0D">
      <w:pPr>
        <w:pStyle w:val="ConsPlusTitle"/>
        <w:jc w:val="center"/>
      </w:pPr>
      <w:r>
        <w:t>от 20 августа 2020 г. N 738</w:t>
      </w:r>
    </w:p>
    <w:p w:rsidR="006B005E" w:rsidRDefault="006B005E">
      <w:pPr>
        <w:pStyle w:val="ConsPlusTitle"/>
        <w:jc w:val="center"/>
      </w:pPr>
    </w:p>
    <w:p w:rsidR="006B005E" w:rsidRDefault="002B0F0D">
      <w:pPr>
        <w:pStyle w:val="ConsPlusTitle"/>
        <w:jc w:val="center"/>
      </w:pPr>
      <w:r>
        <w:t>ОБ УТВЕРЖДЕНИИ ПОРЯДКА ОЦЕНКИ НАЛОГОВЫХ РАСХОДОВ БЕЛОЯРСКОГО</w:t>
      </w:r>
    </w:p>
    <w:p w:rsidR="006B005E" w:rsidRDefault="002B0F0D">
      <w:pPr>
        <w:pStyle w:val="ConsPlusTitle"/>
        <w:jc w:val="center"/>
      </w:pPr>
      <w:r>
        <w:t xml:space="preserve">РАЙОНА И ПОСЕЛЕНИЙ В </w:t>
      </w:r>
      <w:proofErr w:type="gramStart"/>
      <w:r>
        <w:t>ГРАНИЦАХ</w:t>
      </w:r>
      <w:proofErr w:type="gramEnd"/>
      <w:r>
        <w:t xml:space="preserve"> </w:t>
      </w:r>
      <w:r>
        <w:t>БЕЛОЯРСКОГО РАЙОНА</w:t>
      </w:r>
    </w:p>
    <w:p w:rsidR="006B005E" w:rsidRPr="002B0F0D" w:rsidRDefault="006B005E">
      <w:pPr>
        <w:spacing w:after="1"/>
        <w:rPr>
          <w:lang w:val="ru-RU"/>
        </w:rPr>
      </w:pPr>
    </w:p>
    <w:tbl>
      <w:tblPr>
        <w:tblW w:w="830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305"/>
      </w:tblGrid>
      <w:tr w:rsidR="006B005E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05E" w:rsidRDefault="002B0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05E" w:rsidRDefault="002B0F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</w:t>
            </w:r>
            <w:r>
              <w:rPr>
                <w:color w:val="392C69"/>
              </w:rPr>
              <w:t>лоярского района от 08.06.2021 N 477)</w:t>
            </w:r>
          </w:p>
        </w:tc>
      </w:tr>
    </w:tbl>
    <w:p w:rsidR="006B005E" w:rsidRDefault="006B005E">
      <w:pPr>
        <w:pStyle w:val="ConsPlusNormal"/>
        <w:jc w:val="center"/>
      </w:pPr>
    </w:p>
    <w:p w:rsidR="006B005E" w:rsidRDefault="002B0F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174.3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</w:t>
      </w:r>
      <w:r>
        <w:t>22 июня 2019 года N 796 "Об общих требованиях к оценке налоговых расходов субъектов Российской Федерации и муниципальных образований", на основании соглашений о передаче администрациями городского и сельских поселений Белоярского района осуществления части</w:t>
      </w:r>
      <w:r>
        <w:t xml:space="preserve"> полномочий по решению вопросов местного значения администрации Белоярского района от 10</w:t>
      </w:r>
      <w:proofErr w:type="gramEnd"/>
      <w:r>
        <w:t xml:space="preserve"> ноября 2019 года постановляю: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оценки налоговых расходов Белоярского района и поселений в границах Белоярского райо</w:t>
      </w:r>
      <w:r>
        <w:t>на.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28 мая 2010 года N 752 "О</w:t>
      </w:r>
      <w:r>
        <w:t>б утверждении Порядка оценки бюджетной, социальной и экономической эффективности предоставляемых (планируемых к предоставлению) налоговых льгот";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31 мая 2018 года N 459 "О внесении изменений в постановление администрации Белоярского района от 28 мая 2010 года N 752".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</w:t>
      </w:r>
      <w:r>
        <w:t>ете "Белоярские вести. Официальный выпуск".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опубликования, но не ранее 1 января 2021 года.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района, председ</w:t>
      </w:r>
      <w:r>
        <w:t xml:space="preserve">ателя Комитета по финансам и налоговой политике администрации Белоярского района </w:t>
      </w:r>
      <w:proofErr w:type="spellStart"/>
      <w:r>
        <w:t>Гисс</w:t>
      </w:r>
      <w:proofErr w:type="spellEnd"/>
      <w:r>
        <w:t xml:space="preserve"> И.Ю.</w:t>
      </w:r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Normal"/>
        <w:jc w:val="right"/>
      </w:pPr>
      <w:r>
        <w:t>Глава Белоярского района</w:t>
      </w:r>
    </w:p>
    <w:p w:rsidR="006B005E" w:rsidRDefault="002B0F0D">
      <w:pPr>
        <w:pStyle w:val="ConsPlusNormal"/>
        <w:jc w:val="right"/>
      </w:pPr>
      <w:r>
        <w:t>С.П.МАНЕНКОВ</w:t>
      </w: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2B0F0D">
      <w:pPr>
        <w:pStyle w:val="ConsPlusNormal"/>
        <w:jc w:val="right"/>
        <w:outlineLvl w:val="0"/>
      </w:pPr>
      <w:r>
        <w:t>Утвержден</w:t>
      </w:r>
    </w:p>
    <w:p w:rsidR="006B005E" w:rsidRDefault="002B0F0D">
      <w:pPr>
        <w:pStyle w:val="ConsPlusNormal"/>
        <w:jc w:val="right"/>
      </w:pPr>
      <w:r>
        <w:t>постановлением администрации</w:t>
      </w:r>
    </w:p>
    <w:p w:rsidR="006B005E" w:rsidRDefault="002B0F0D">
      <w:pPr>
        <w:pStyle w:val="ConsPlusNormal"/>
        <w:jc w:val="right"/>
      </w:pPr>
      <w:r>
        <w:t>Белоярского района</w:t>
      </w:r>
    </w:p>
    <w:p w:rsidR="006B005E" w:rsidRDefault="002B0F0D">
      <w:pPr>
        <w:pStyle w:val="ConsPlusNormal"/>
        <w:jc w:val="right"/>
      </w:pPr>
      <w:r>
        <w:t>от 20 августа 2020 года N 738</w:t>
      </w:r>
    </w:p>
    <w:p w:rsidR="006B005E" w:rsidRDefault="006B005E">
      <w:pPr>
        <w:pStyle w:val="ConsPlusNormal"/>
      </w:pPr>
    </w:p>
    <w:p w:rsidR="006B005E" w:rsidRDefault="002B0F0D">
      <w:pPr>
        <w:pStyle w:val="ConsPlusTitle"/>
        <w:jc w:val="center"/>
      </w:pPr>
      <w:r>
        <w:t>ПОРЯДОК</w:t>
      </w:r>
    </w:p>
    <w:p w:rsidR="006B005E" w:rsidRDefault="002B0F0D">
      <w:pPr>
        <w:pStyle w:val="ConsPlusTitle"/>
        <w:jc w:val="center"/>
      </w:pPr>
      <w:r>
        <w:lastRenderedPageBreak/>
        <w:t>ОЦЕНКИ НАЛОГОВЫХ РАСХОДО</w:t>
      </w:r>
      <w:r>
        <w:t>В БЕЛОЯРСКОГО РАЙОНА И ПОСЕЛЕНИЙ</w:t>
      </w:r>
    </w:p>
    <w:p w:rsidR="006B005E" w:rsidRDefault="002B0F0D">
      <w:pPr>
        <w:pStyle w:val="ConsPlusTitle"/>
        <w:jc w:val="center"/>
      </w:pPr>
      <w:r>
        <w:t xml:space="preserve">В </w:t>
      </w:r>
      <w:proofErr w:type="gramStart"/>
      <w:r>
        <w:t>ГРАНИЦАХ</w:t>
      </w:r>
      <w:proofErr w:type="gramEnd"/>
      <w:r>
        <w:t xml:space="preserve"> БЕЛОЯРСКОГО РАЙОНА</w:t>
      </w:r>
    </w:p>
    <w:p w:rsidR="006B005E" w:rsidRDefault="006B005E">
      <w:pPr>
        <w:spacing w:after="1"/>
      </w:pPr>
    </w:p>
    <w:tbl>
      <w:tblPr>
        <w:tblW w:w="830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305"/>
      </w:tblGrid>
      <w:tr w:rsidR="006B005E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05E" w:rsidRDefault="002B0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05E" w:rsidRDefault="002B0F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08.06.2021 N 477)</w:t>
            </w:r>
          </w:p>
        </w:tc>
      </w:tr>
    </w:tbl>
    <w:p w:rsidR="006B005E" w:rsidRDefault="006B005E">
      <w:pPr>
        <w:pStyle w:val="ConsPlusNormal"/>
      </w:pPr>
    </w:p>
    <w:p w:rsidR="006B005E" w:rsidRDefault="002B0F0D">
      <w:pPr>
        <w:pStyle w:val="ConsPlusTitle"/>
        <w:jc w:val="center"/>
        <w:outlineLvl w:val="1"/>
      </w:pPr>
      <w:r>
        <w:t>I. Общие положения</w:t>
      </w:r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</w:t>
      </w:r>
      <w:r>
        <w:t>ок оценки налоговых расходов Белоярского района и поселений в границах Белоярского района (далее - Порядок) определяет процедуру проведения оценки эффективности предоставляемых (планируемых к предоставлению) налоговых расходов Белоярского района (далее - р</w:t>
      </w:r>
      <w:r>
        <w:t>айон) и поселений в границах Белоярского района (далее - поселения), правила формирования информации о нормативных, целевых и фискальных характеристиках налоговых расходов района (поселений), порядок обобщения результатов оценки эффективности налоговых рас</w:t>
      </w:r>
      <w:r>
        <w:t>ходов района (поселений).</w:t>
      </w:r>
      <w:proofErr w:type="gramEnd"/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Понятия, используемые в Порядке, соответствуют терминам и определениям, установленным общими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оценке налоговых расходов субъектов Российской Федерации и муниципальных образований, утвер</w:t>
      </w:r>
      <w:r>
        <w:t>жденными постановлением Правительства Российской Федерации от 22 июня 2019 года N 796 (далее - Общие требования).</w:t>
      </w:r>
      <w:proofErr w:type="gramEnd"/>
    </w:p>
    <w:p w:rsidR="006B005E" w:rsidRDefault="002B0F0D">
      <w:pPr>
        <w:pStyle w:val="ConsPlusNormal"/>
        <w:spacing w:before="200"/>
        <w:ind w:firstLine="540"/>
        <w:jc w:val="both"/>
      </w:pPr>
      <w:r>
        <w:t>3. Оценка эффективности предоставляемых (планируемых к предоставлению) налоговых расходов района (поселений) осуществляется в отношении налого</w:t>
      </w:r>
      <w:r>
        <w:t xml:space="preserve">вых льгот, пониженных ставок и иных преференций, установленных нормативными правовыми актами представительных органов местного самоуправления района (поселений) по налогам и сборам со сроком действия более 2 лет </w:t>
      </w:r>
      <w:proofErr w:type="gramStart"/>
      <w:r>
        <w:t>для</w:t>
      </w:r>
      <w:proofErr w:type="gramEnd"/>
      <w:r>
        <w:t>:</w:t>
      </w:r>
    </w:p>
    <w:p w:rsidR="006B005E" w:rsidRDefault="002B0F0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1) налогоплательщиков - организаций по земельному </w:t>
      </w:r>
      <w:r>
        <w:t>налогу;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2) индивидуальных предпринимателей, перешедших на единый </w:t>
      </w:r>
      <w:proofErr w:type="gramStart"/>
      <w:r>
        <w:t>налог</w:t>
      </w:r>
      <w:proofErr w:type="gramEnd"/>
      <w:r>
        <w:t xml:space="preserve"> на вмененный доход (для отдельных видов деятельности);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3) физических лиц, являющихся в соответствии с законодательством о налогах и сборах плательщиками налогов в бюджет района </w:t>
      </w:r>
      <w:r>
        <w:t>(поселений) и входящих в льготную категорию налогоплательщиков по земельному налогу, налогу на имущество физических лиц (далее - налогоплательщики - физические лица).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4. Оценка налоговых расходов района (поселений) направлена на оптимизацию перечня налогов</w:t>
      </w:r>
      <w:r>
        <w:t>ых преференций, установленных нормативными правовыми актами представительных органов местного самоуправления района (поселений) по налогам и сборам, обеспечение оптимального выбора объектов для предоставления государственной (муниципальной) поддержки в вид</w:t>
      </w:r>
      <w:r>
        <w:t>е данных налоговых преференций.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Результаты рассмотрения оценки налоговых расходов района (поселений) учитываются при формировании основных направлений бюджетной и налоговой политики района (поселений), а также при проведении оценки эффективности реализации</w:t>
      </w:r>
      <w:r>
        <w:t xml:space="preserve"> муниципальных программ района (поселений).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5. В </w:t>
      </w:r>
      <w:proofErr w:type="gramStart"/>
      <w:r>
        <w:t>целях</w:t>
      </w:r>
      <w:proofErr w:type="gramEnd"/>
      <w:r>
        <w:t xml:space="preserve"> оценки налоговых расходов района (поселений) Комитет по финансам и налоговой политике администрации района (далее - уполномоченный орган):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1) формирует перечень налоговых расходов района (поселений);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</w:t>
      </w:r>
      <w:r>
        <w:t>) обеспечивает сбор и формирование информации о нормативных, целевых и фискальных характеристиках налоговых расходов района (поселений), необходимой для проведения их оценки;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lastRenderedPageBreak/>
        <w:t>3) осуществляет обобщение результатов оценки эффективности налоговых расходов рай</w:t>
      </w:r>
      <w:r>
        <w:t>она (поселений), осуществляемой кураторами налоговых расходов района (поселений).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6. Кураторы налоговых расходов района (поселений):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1) формируют паспорта налоговых расходов района (поселений), содержащие информацию, предусмотренную </w:t>
      </w:r>
      <w:hyperlink w:anchor="P141" w:history="1">
        <w:r>
          <w:rPr>
            <w:color w:val="0000FF"/>
          </w:rPr>
          <w:t>прило</w:t>
        </w:r>
        <w:r>
          <w:rPr>
            <w:color w:val="0000FF"/>
          </w:rPr>
          <w:t>жением</w:t>
        </w:r>
      </w:hyperlink>
      <w:r>
        <w:t xml:space="preserve"> к настоящему Порядку;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2) осуществляют оценку эффективности налоговых расходов района (поселений)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</w:t>
      </w:r>
      <w:r>
        <w:t>стик;</w:t>
      </w:r>
    </w:p>
    <w:p w:rsidR="006B005E" w:rsidRDefault="002B0F0D">
      <w:pPr>
        <w:pStyle w:val="ConsPlusNormal"/>
        <w:spacing w:before="200"/>
        <w:ind w:firstLine="540"/>
        <w:jc w:val="both"/>
      </w:pPr>
      <w:proofErr w:type="gramStart"/>
      <w:r>
        <w:t xml:space="preserve">3) формулируют выводы о достижении целевых характеристик налогового расхода района (поселений), вкладе налогового расхода района (поселений) в достижение целей муниципальной программы района (поселений) и (или) целей социально-экономической политики </w:t>
      </w:r>
      <w:r>
        <w:t>района (поселений),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района (поселений) и (или) целей социально-экономической политики района (</w:t>
      </w:r>
      <w:r>
        <w:t>поселений), не</w:t>
      </w:r>
      <w:proofErr w:type="gramEnd"/>
      <w:r>
        <w:t xml:space="preserve"> </w:t>
      </w:r>
      <w:proofErr w:type="gramStart"/>
      <w:r>
        <w:t>относящихся</w:t>
      </w:r>
      <w:proofErr w:type="gramEnd"/>
      <w:r>
        <w:t xml:space="preserve"> к муниципальным программам;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4) представляют в уполномоченный орган предложения о сохранении (уточнении, отмене) льгот для налогоплательщиков.</w:t>
      </w:r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Title"/>
        <w:jc w:val="center"/>
        <w:outlineLvl w:val="1"/>
      </w:pPr>
      <w:r>
        <w:t xml:space="preserve">II. Правила формирования информации о </w:t>
      </w:r>
      <w:proofErr w:type="gramStart"/>
      <w:r>
        <w:t>нормативных</w:t>
      </w:r>
      <w:proofErr w:type="gramEnd"/>
      <w:r>
        <w:t>, целевых</w:t>
      </w:r>
    </w:p>
    <w:p w:rsidR="006B005E" w:rsidRDefault="002B0F0D">
      <w:pPr>
        <w:pStyle w:val="ConsPlusTitle"/>
        <w:jc w:val="center"/>
      </w:pPr>
      <w:r>
        <w:t xml:space="preserve">и фискальных </w:t>
      </w:r>
      <w:proofErr w:type="gramStart"/>
      <w:r>
        <w:t>характеристика</w:t>
      </w:r>
      <w:r>
        <w:t>х</w:t>
      </w:r>
      <w:proofErr w:type="gramEnd"/>
      <w:r>
        <w:t xml:space="preserve"> налоговых расходов района</w:t>
      </w:r>
    </w:p>
    <w:p w:rsidR="006B005E" w:rsidRDefault="002B0F0D">
      <w:pPr>
        <w:pStyle w:val="ConsPlusTitle"/>
        <w:jc w:val="center"/>
      </w:pPr>
      <w:r>
        <w:t>(поселений)</w:t>
      </w:r>
    </w:p>
    <w:p w:rsidR="006B005E" w:rsidRDefault="002B0F0D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</w:t>
      </w:r>
      <w:r>
        <w:t xml:space="preserve"> района</w:t>
      </w:r>
      <w:proofErr w:type="gramEnd"/>
    </w:p>
    <w:p w:rsidR="006B005E" w:rsidRDefault="002B0F0D">
      <w:pPr>
        <w:pStyle w:val="ConsPlusNormal"/>
        <w:jc w:val="center"/>
      </w:pPr>
      <w:r>
        <w:t>от 08.06.2021 N 477)</w:t>
      </w:r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Normal"/>
        <w:ind w:firstLine="540"/>
        <w:jc w:val="both"/>
      </w:pPr>
      <w:r>
        <w:t>7. Уполномоченный орган ежегодно осуществляет учет информации о налоговых льготах, освобождениях и иных преференциях, установленных нормативными правовыми актами представительных органов местного самоуправления района (поселен</w:t>
      </w:r>
      <w:r>
        <w:t>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8. Информация о нормативных, целевых и фискальных характеристиках ежегодно формируется уполномоченным органом в отношении налоговых расходов, включенных в перечень налоговых расходов района (поселений) на очередной финансовый год, размещенный на офици</w:t>
      </w:r>
      <w:r>
        <w:t>альном сайте органов местного самоуправления района (поселений) в информационно-телекоммуникационной сети "Интернет".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9. Формирование информации о налоговых расходах района (поселений) осуществляется уполномоченным органом в электронном виде (в формате эле</w:t>
      </w:r>
      <w:r>
        <w:t xml:space="preserve">ктронной таблицы) в разрезе показателей, входящих в </w:t>
      </w:r>
      <w:hyperlink w:anchor="P141" w:history="1">
        <w:r>
          <w:rPr>
            <w:color w:val="0000FF"/>
          </w:rPr>
          <w:t>перечень</w:t>
        </w:r>
      </w:hyperlink>
      <w:r>
        <w:t xml:space="preserve"> информации, включаемый в паспорт налоговых расходов района (поселений), приведенный в приложении к настоящему Порядку.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10. Для сбора и учета информации о нормативных и целевы</w:t>
      </w:r>
      <w:r>
        <w:t xml:space="preserve">х характеристиках налоговых расходов района (поселений) кураторы налоговых расходов района (поселений) представляют в электронном виде в уполномоченный орган информацию по </w:t>
      </w:r>
      <w:hyperlink w:anchor="P201" w:history="1">
        <w:r>
          <w:rPr>
            <w:color w:val="0000FF"/>
          </w:rPr>
          <w:t>пунктам 18</w:t>
        </w:r>
      </w:hyperlink>
      <w:r>
        <w:t xml:space="preserve">, </w:t>
      </w:r>
      <w:hyperlink w:anchor="P204" w:history="1">
        <w:r>
          <w:rPr>
            <w:color w:val="0000FF"/>
          </w:rPr>
          <w:t>19</w:t>
        </w:r>
      </w:hyperlink>
      <w:r>
        <w:t xml:space="preserve"> паспортов налоговых расходо</w:t>
      </w:r>
      <w:r>
        <w:t xml:space="preserve">в района (поселений) ежегодно, до 15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11. Информацию по </w:t>
      </w:r>
      <w:hyperlink w:anchor="P208" w:history="1">
        <w:r>
          <w:rPr>
            <w:color w:val="0000FF"/>
          </w:rPr>
          <w:t>пунктам 20</w:t>
        </w:r>
      </w:hyperlink>
      <w:r>
        <w:t xml:space="preserve">, </w:t>
      </w:r>
      <w:hyperlink w:anchor="P214" w:history="1">
        <w:r>
          <w:rPr>
            <w:color w:val="0000FF"/>
          </w:rPr>
          <w:t>22</w:t>
        </w:r>
      </w:hyperlink>
      <w:r>
        <w:t xml:space="preserve"> - </w:t>
      </w:r>
      <w:hyperlink w:anchor="P223" w:history="1">
        <w:r>
          <w:rPr>
            <w:color w:val="0000FF"/>
          </w:rPr>
          <w:t>25</w:t>
        </w:r>
      </w:hyperlink>
      <w:r>
        <w:t xml:space="preserve"> паспортов налоговых расходов района (поселений) уполномоченный орган формирует на основании данных Межрайонной инспекции федеральной налоговой службы N 8 по Ханты-Мансийскому автономному округу - Югре (далее - налоговая инспекция), предоставленных в поряд</w:t>
      </w:r>
      <w:r>
        <w:t>ке, указанном в соглашении по информационному взаимодействию между налоговым органом и администрацией района (поселений).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ежегодно, до 1 августа года, следующего за отчетным размещает информацию о нормативных, целевых и фискальных </w:t>
      </w:r>
      <w:r>
        <w:t xml:space="preserve">характеристиках налоговых </w:t>
      </w:r>
      <w:r>
        <w:lastRenderedPageBreak/>
        <w:t>расходов района (поселений), включенных в перечень налоговых расходов района (поселений) на официальном сайте органов местного самоуправления района (поселений) в информационно-телекоммуникационной сети "Интернет".</w:t>
      </w:r>
      <w:proofErr w:type="gramEnd"/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В целях про</w:t>
      </w:r>
      <w:r>
        <w:t>ведения оценки эффективности налоговых расходов района (поселений), формат электронной таблицы доводится уполномоченным органом до кураторов налоговых расходов района (поселений) в течение 5 рабочих дней с даты размещения данной информации на официальном с</w:t>
      </w:r>
      <w:r>
        <w:t>айте органов местного самоуправления района (поселений) в информационно-телекоммуникационной сети "Интернет".</w:t>
      </w:r>
      <w:proofErr w:type="gramEnd"/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Title"/>
        <w:jc w:val="center"/>
        <w:outlineLvl w:val="1"/>
      </w:pPr>
      <w:r>
        <w:t>III. Оценка эффективности налоговых расходов района</w:t>
      </w:r>
    </w:p>
    <w:p w:rsidR="006B005E" w:rsidRDefault="002B0F0D">
      <w:pPr>
        <w:pStyle w:val="ConsPlusTitle"/>
        <w:jc w:val="center"/>
      </w:pPr>
      <w:r>
        <w:t>(поселений)</w:t>
      </w:r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Normal"/>
        <w:ind w:firstLine="540"/>
        <w:jc w:val="both"/>
      </w:pPr>
      <w:r>
        <w:t>14. Оценка эффективности налоговых расходов района (поселений) осуществляется ку</w:t>
      </w:r>
      <w:r>
        <w:t>раторами налоговых расходов района (поселений) и включает: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1) оценку целесообразности налоговых расходов района (поселений);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2) оценку результативности налоговых расходов района (поселений).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15. Критериями целесообразности налоговых расходов района (поселе</w:t>
      </w:r>
      <w:r>
        <w:t>ний) являются: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1) соответствие налоговых расходов района (поселений) целям муниципальных программ района (поселений), их структурным элементам и (или) целям социально-экономической политики района (поселений), не относящимся к муниципальным программам райо</w:t>
      </w:r>
      <w:r>
        <w:t>на (поселений);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2) </w:t>
      </w:r>
      <w:proofErr w:type="spellStart"/>
      <w:r>
        <w:t>востребованность</w:t>
      </w:r>
      <w:proofErr w:type="spellEnd"/>
      <w:r>
        <w:t xml:space="preserve"> плательщиками предоставленных налоговых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к общей численности плательщиков, за 5-летний период.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16. Налоговый расход</w:t>
      </w:r>
      <w:r>
        <w:t xml:space="preserve"> района (поселений) должен соответствовать минимум одной цели муниципальной программы района (поселений), ее структурному элементу и (или) цели социально-экономической политики района (поселений), не относящейся к муниципальным программам района (поселений</w:t>
      </w:r>
      <w:r>
        <w:t>).</w:t>
      </w:r>
    </w:p>
    <w:p w:rsidR="006B005E" w:rsidRDefault="002B0F0D">
      <w:pPr>
        <w:pStyle w:val="ConsPlusNormal"/>
        <w:spacing w:before="200"/>
        <w:ind w:firstLine="540"/>
        <w:jc w:val="both"/>
      </w:pPr>
      <w:proofErr w:type="gramStart"/>
      <w:r>
        <w:t>Если налоговый расход района (поселений) носит разнородный характер, то есть соответствует нескольким целям муниципальных программ района (поселений), их структурным элементам и (или) целям социально-экономической политики района (поселений), не относящ</w:t>
      </w:r>
      <w:r>
        <w:t>имся к муниципальным программам района (поселений), в этом случае при проведении оценки целесообразности налогового расхода района (поселений) следует определить одну цель, которая в большей степени отражает цель предоставления налоговой льготы.</w:t>
      </w:r>
      <w:proofErr w:type="gramEnd"/>
    </w:p>
    <w:p w:rsidR="006B005E" w:rsidRDefault="002B0F0D">
      <w:pPr>
        <w:pStyle w:val="ConsPlusNormal"/>
        <w:spacing w:before="200"/>
        <w:ind w:firstLine="540"/>
        <w:jc w:val="both"/>
      </w:pPr>
      <w:r>
        <w:t>При оценке</w:t>
      </w:r>
      <w:r>
        <w:t xml:space="preserve"> налоговых расходов района (поселений) следует учитывать, что налоговый расход должен оказывать прямое или косвенное влияние на достижение целей муниципальной программы района (поселений), ее структурных элементов и (или) целей социально-экономической поли</w:t>
      </w:r>
      <w:r>
        <w:t>тики района (поселений), не относящихся к муниципальным программам района (поселений).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Прямое влияние предполагает, что связь между налоговыми расходами и вышеуказанными целями должна быть понятной и однозначно воспринимаемой.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Косвенное (опосредованное) вл</w:t>
      </w:r>
      <w:r>
        <w:t>ияние должно сопровождаться описанием обоснования взаимосвязи между налоговым расходом района (поселений) и вышеуказанными целями.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17. Соответствие налогового расхода района (поселений) целям социально-экономической политики района (поселений), не относящи</w:t>
      </w:r>
      <w:r>
        <w:t>мся к муниципальным программам района (поселений), может быть отражено в следующих документах: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lastRenderedPageBreak/>
        <w:t>1) стратегия социально-экономического развития района;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2) план мероприятий по реализации стратегии социально-экономического развития района;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3) программы комплек</w:t>
      </w:r>
      <w:r>
        <w:t>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При выборе документа стратегического планирования и его</w:t>
      </w:r>
      <w:r>
        <w:t xml:space="preserve"> цели следует использовать цель, наиболее детально отражающую сущность налогового расхода района (поселений).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18. При определении показателя </w:t>
      </w:r>
      <w:proofErr w:type="spellStart"/>
      <w:r>
        <w:t>востребованности</w:t>
      </w:r>
      <w:proofErr w:type="spellEnd"/>
      <w:r>
        <w:t xml:space="preserve"> в случае, когда численность плательщиков, воспользовавшихся правом на налоговые льготы, составляет</w:t>
      </w:r>
      <w:r>
        <w:t xml:space="preserve"> менее 1% от общей численности плательщиков соответствующего налога, рекомендуется количество плательщиков, воспользовавшихся правом на налоговые льготы, соотносить с количеством плательщиков, потенциально имеющих право на получение данной налоговой льготы</w:t>
      </w:r>
      <w:r>
        <w:t>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Плательщики, потенциально имеющие право на получение налоговой льготы, определяются на основании положений, актов, статистических данных налоговой инспекции и иных сведений. Кроме того, количество потенциальных плательщиков может быть расчетным показател</w:t>
      </w:r>
      <w:r>
        <w:t xml:space="preserve">ем, в </w:t>
      </w:r>
      <w:proofErr w:type="gramStart"/>
      <w:r>
        <w:t>связи</w:t>
      </w:r>
      <w:proofErr w:type="gramEnd"/>
      <w:r>
        <w:t xml:space="preserve"> с чем куратору налогового расхода района (поселений) при оценки налогового расхода требуется отразить порядок расчета указанного показателя.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если налоговая льгота действует менее 5 лет, то оценка ее </w:t>
      </w:r>
      <w:proofErr w:type="spellStart"/>
      <w:r>
        <w:t>востребованности</w:t>
      </w:r>
      <w:proofErr w:type="spellEnd"/>
      <w:r>
        <w:t xml:space="preserve"> проводится за факт</w:t>
      </w:r>
      <w:r>
        <w:t>ический и прогнозный периоды действия льготы, сумма которых составляет 5 лет.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Пороговым значением для социальных и технических налоговых расходов района (поселений), при котором льгота считается востребованной, является наличие фактического количества плат</w:t>
      </w:r>
      <w:r>
        <w:t>ельщиков, воспользовавшихся налоговой льготой.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Для стимулирующих налоговых расходов района (поселений) пороговое значение уровня </w:t>
      </w:r>
      <w:proofErr w:type="spellStart"/>
      <w:r>
        <w:t>востребованности</w:t>
      </w:r>
      <w:proofErr w:type="spellEnd"/>
      <w:r>
        <w:t xml:space="preserve"> должно составлять не менее 0,3 процента.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Дополнительным (но не заменяющим) обоснованием </w:t>
      </w:r>
      <w:proofErr w:type="spellStart"/>
      <w:r>
        <w:t>востребованности</w:t>
      </w:r>
      <w:proofErr w:type="spellEnd"/>
      <w:r>
        <w:t xml:space="preserve"> </w:t>
      </w:r>
      <w:r>
        <w:t>налоговой льготы могут служить экспертные оценки.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При необходимости кураторами налоговых расходов района (поселений) могут быть установлены иные критерии целесообразности предоставления льгот для плательщиков.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несоответствия налоговых расходов рай</w:t>
      </w:r>
      <w:r>
        <w:t>она (поселений) хотя бы одному из критериев целесообразности, куратору налогового расхода района (поселений) необходимо представить в уполномоченный орган предложения о сохранении (уточнении, отмене) льгот для плательщиков.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19. Оценка результативности нало</w:t>
      </w:r>
      <w:r>
        <w:t>говых расходов района (поселений) включает: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1) оценку бюджетной эффективности налоговых расходов района (поселений);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2) оценку вклада предусмотренного налогового расхода района (поселений) в изменение значения показателя (индикатора) достижения целей муниц</w:t>
      </w:r>
      <w:r>
        <w:t>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В целях оценки бюджетной эффективности налоговых расходов района (поселений) осуществл</w:t>
      </w:r>
      <w:r>
        <w:t xml:space="preserve">яются сравнительный анализ результативности предоставления налоговых расходов района (поселений) и результативности применения альтернативных механизмов достижения целей муниципальных программ района (поселений), и (или) целей социально-экономической </w:t>
      </w:r>
      <w:r>
        <w:lastRenderedPageBreak/>
        <w:t>полит</w:t>
      </w:r>
      <w:r>
        <w:t>ики района (поселений), не относящихся к муниципальным программам района (поселений).</w:t>
      </w:r>
      <w:proofErr w:type="gramEnd"/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Сравнительный анализ включает сопоставление объемов расходов бюджета района (поселений) в случае применения альтернативных механизмов достижения целей муниципальных п</w:t>
      </w:r>
      <w:r>
        <w:t>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и объемов предоставленных налоговых расходов района (поселений) (расчет прироста показателя (индикат</w:t>
      </w:r>
      <w:r>
        <w:t>ора) достижения целей муниципальных программ района (поселений) и (или) целей социально-экономической политики района (поселений), не относящихся</w:t>
      </w:r>
      <w:proofErr w:type="gramEnd"/>
      <w:r>
        <w:t xml:space="preserve"> к муниципальным программам района (поселений), на 1 рубль налоговых расходов района (поселений) и на 1 рубль р</w:t>
      </w:r>
      <w:r>
        <w:t>асходов бюджета района (поселений) для достижения того же показателя (индикатора) в случае применения альтернативных механизмов).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В целях обеспечения репрезентативности полученного результата сравнительного анализа результативности предоставления льгот</w:t>
      </w:r>
      <w:r>
        <w:t xml:space="preserve">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  <w:proofErr w:type="gramEnd"/>
    </w:p>
    <w:p w:rsidR="006B005E" w:rsidRDefault="002B0F0D">
      <w:pPr>
        <w:pStyle w:val="ConsPlusNormal"/>
        <w:spacing w:before="200"/>
        <w:ind w:firstLine="540"/>
        <w:jc w:val="both"/>
      </w:pPr>
      <w:r>
        <w:t>а) сопоставление объемов налогового расхода района (поселени</w:t>
      </w:r>
      <w:r>
        <w:t>й) и расходов бюджета района (поселений) для достижения идентичного значения показателя (индикатора);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б) сопоставление значений показателя (индикатора) при условии идентичных объемов налогового расхода района (поселений) и расходов бюджета района (поселени</w:t>
      </w:r>
      <w:r>
        <w:t>й).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При сравнительном анализе необходимо также учитывать объем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</w:t>
      </w:r>
      <w:proofErr w:type="gramStart"/>
      <w:r>
        <w:t>,</w:t>
      </w:r>
      <w:proofErr w:type="gramEnd"/>
      <w:r>
        <w:t xml:space="preserve"> объем указ</w:t>
      </w:r>
      <w:r>
        <w:t>анных расходов должен быть обоснован и не зависим от объема налогов (налоговых расходов района (поселений)).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23. В </w:t>
      </w:r>
      <w:proofErr w:type="gramStart"/>
      <w:r>
        <w:t>качестве</w:t>
      </w:r>
      <w:proofErr w:type="gramEnd"/>
      <w:r>
        <w:t xml:space="preserve"> альтернативных механизмов достижения целей муниципальной программы района (поселений) и (или) целей социально-экономической политики</w:t>
      </w:r>
      <w:r>
        <w:t xml:space="preserve"> района (поселений), не относящихся к муниципальным программам, могут учитываться в том числе: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1) субсидии или иные формы непосредственной финансовой поддержки плательщиков, имеющих право на льготы, за счет бюджета района (поселений);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2) предоставление мун</w:t>
      </w:r>
      <w:r>
        <w:t>иципальных гарантий по обязательствам плательщиков, имеющих право на льготы.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При сравнении инструмента налоговых расходов района (поселений) с инструментом предоставления муниципальных гарантий необходимо учитывать не только планируемый объем муниципальных</w:t>
      </w:r>
      <w:r>
        <w:t xml:space="preserve"> гарантий (условные обязательства), но и ожидаемый объем бюджетных ассигнований на их исполнение (прямые обязательства). В </w:t>
      </w:r>
      <w:proofErr w:type="gramStart"/>
      <w:r>
        <w:t>качестве</w:t>
      </w:r>
      <w:proofErr w:type="gramEnd"/>
      <w:r>
        <w:t xml:space="preserve"> суммы для сопоставления рекомендуется использовать расчетный объем бюджетных ассигнований на исполнение муниципальных гарант</w:t>
      </w:r>
      <w:r>
        <w:t>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 льгот и муниципальных гарантий;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3) совершенствование нормативного регулирования и (</w:t>
      </w:r>
      <w:r>
        <w:t>или) порядка осуществления контрольно-надзорных функций в сфере деятельности плательщиков, имеющих право на льготы.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</w:t>
      </w:r>
      <w:r>
        <w:t>го самоуправления с плательщиками, имеющими право на льготы.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lastRenderedPageBreak/>
        <w:t>24. Альтернативный механизм достижения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</w:t>
      </w:r>
      <w:r>
        <w:t xml:space="preserve">м района (поселений), может быть не предусмотрен действующими на момент проведения оценки эффективности налогового расхода муниципальными правовыми актами. Альтернативный механизм может рассматриваться как потенциальный инструмент регулирования, возможный </w:t>
      </w:r>
      <w:r>
        <w:t>к установлению на территории района (поселения) вместо льготы.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25. При определении альтернативных механизмов для налоговых расходов района (поселений) социальной целевой категории, в том числе при определении объема средств бюджета района (поселений) на их</w:t>
      </w:r>
      <w:r>
        <w:t xml:space="preserve"> применение, целесообразно учитывать принцип </w:t>
      </w:r>
      <w:proofErr w:type="spellStart"/>
      <w:r>
        <w:t>адресности</w:t>
      </w:r>
      <w:proofErr w:type="spellEnd"/>
      <w:r>
        <w:t xml:space="preserve"> и (или) критерий нуждаемости.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26. Паспорта налоговых расходов района (поселений), результаты оценки эффективности налоговых расходов района (поселений) и рекомендации по результатам указанной оценки (</w:t>
      </w:r>
      <w:r>
        <w:t xml:space="preserve">далее - отчеты кураторов налоговых расходов) направляются кураторами налоговых расходов района (поселений) в уполномоченный орган ежегодно, до 25 августа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B005E" w:rsidRDefault="002B0F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Title"/>
        <w:jc w:val="center"/>
        <w:outlineLvl w:val="1"/>
      </w:pPr>
      <w:r>
        <w:t>IV. Порядок обобщения результ</w:t>
      </w:r>
      <w:r>
        <w:t>атов оценки эффективности</w:t>
      </w:r>
    </w:p>
    <w:p w:rsidR="006B005E" w:rsidRDefault="002B0F0D">
      <w:pPr>
        <w:pStyle w:val="ConsPlusTitle"/>
        <w:jc w:val="center"/>
      </w:pPr>
      <w:r>
        <w:t>налоговых расходов района (поселений)</w:t>
      </w:r>
    </w:p>
    <w:p w:rsidR="006B005E" w:rsidRDefault="006B005E">
      <w:pPr>
        <w:pStyle w:val="ConsPlusNormal"/>
        <w:ind w:firstLine="540"/>
        <w:jc w:val="both"/>
      </w:pPr>
    </w:p>
    <w:p w:rsidR="006B005E" w:rsidRDefault="002B0F0D">
      <w:pPr>
        <w:pStyle w:val="ConsPlusNormal"/>
        <w:ind w:firstLine="540"/>
        <w:jc w:val="both"/>
      </w:pPr>
      <w:r>
        <w:t xml:space="preserve">27. Уполномоченный орган рассматривает отчеты кураторов налоговых расходов ежегодно, до 1 сентября года, следующего за </w:t>
      </w:r>
      <w:proofErr w:type="gramStart"/>
      <w:r>
        <w:t>отчетным</w:t>
      </w:r>
      <w:proofErr w:type="gramEnd"/>
      <w:r>
        <w:t>.</w:t>
      </w:r>
    </w:p>
    <w:p w:rsidR="006B005E" w:rsidRDefault="002B0F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По результатам рассмотрения уп</w:t>
      </w:r>
      <w:r>
        <w:t>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возвращения указанного отчета на доработку куратор налогового расхода райо</w:t>
      </w:r>
      <w:r>
        <w:t>на (поселений) в течение 5 рабочих дней, следующих за днем его возвращения, устраняет замечания и направляет его на повторное рассмотрение.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28. На основе согласованных отчетов кураторов налоговых расходов уполномоченный орган готовит сводный отчет об оценк</w:t>
      </w:r>
      <w:r>
        <w:t>е эффективности предоставленных налоговых расходов района (поселений) за отчетный период (далее - Сводный отчет).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>29. По результатам подготовки Сводного отчета уполномоченный орган готовит аналитическую записку об оценке эффективности предоставленных налог</w:t>
      </w:r>
      <w:r>
        <w:t>овых расходов района (поселений) за отчетный период (далее - Аналитическая записка).</w:t>
      </w:r>
    </w:p>
    <w:p w:rsidR="006B005E" w:rsidRDefault="002B0F0D">
      <w:pPr>
        <w:pStyle w:val="ConsPlusNormal"/>
        <w:spacing w:before="200"/>
        <w:ind w:firstLine="540"/>
        <w:jc w:val="both"/>
      </w:pPr>
      <w:r>
        <w:t xml:space="preserve">30. Уполномоченный орган размещает Аналитическую записку на официальном сайте органов местного самоуправления района (поселений) в информационно-телекоммуникационной сети </w:t>
      </w:r>
      <w:r>
        <w:t xml:space="preserve">"Интернет" в срок не позднее 1 октября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B005E" w:rsidRDefault="002B0F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6B005E">
      <w:pPr>
        <w:pStyle w:val="ConsPlusNormal"/>
      </w:pPr>
    </w:p>
    <w:p w:rsidR="006B005E" w:rsidRDefault="002B0F0D">
      <w:pPr>
        <w:pStyle w:val="ConsPlusNormal"/>
        <w:jc w:val="right"/>
        <w:outlineLvl w:val="1"/>
      </w:pPr>
      <w:r>
        <w:t>Приложение</w:t>
      </w:r>
    </w:p>
    <w:p w:rsidR="006B005E" w:rsidRDefault="002B0F0D">
      <w:pPr>
        <w:pStyle w:val="ConsPlusNormal"/>
        <w:jc w:val="right"/>
      </w:pPr>
      <w:r>
        <w:t>к Порядку оценки налоговых расходов</w:t>
      </w:r>
    </w:p>
    <w:p w:rsidR="006B005E" w:rsidRDefault="002B0F0D">
      <w:pPr>
        <w:pStyle w:val="ConsPlusNormal"/>
        <w:jc w:val="right"/>
      </w:pPr>
      <w:r>
        <w:t>Белоярского района и поселений</w:t>
      </w:r>
    </w:p>
    <w:p w:rsidR="006B005E" w:rsidRDefault="002B0F0D">
      <w:pPr>
        <w:pStyle w:val="ConsPlusNormal"/>
        <w:jc w:val="right"/>
      </w:pPr>
      <w:r>
        <w:t>в границах Белоярского района</w:t>
      </w:r>
    </w:p>
    <w:p w:rsidR="006B005E" w:rsidRDefault="006B005E">
      <w:pPr>
        <w:pStyle w:val="ConsPlusNormal"/>
      </w:pPr>
    </w:p>
    <w:p w:rsidR="006B005E" w:rsidRDefault="002B0F0D">
      <w:pPr>
        <w:pStyle w:val="ConsPlusTitle"/>
        <w:jc w:val="center"/>
      </w:pPr>
      <w:r>
        <w:lastRenderedPageBreak/>
        <w:t>ПЕРЕЧЕНЬ</w:t>
      </w:r>
    </w:p>
    <w:p w:rsidR="006B005E" w:rsidRDefault="002B0F0D">
      <w:pPr>
        <w:pStyle w:val="ConsPlusTitle"/>
        <w:jc w:val="center"/>
      </w:pPr>
      <w:r>
        <w:t>ИНФОРМАЦИИ, ВКЛЮЧАЕМОЙ В ПАСПОРТ НАЛОГОВОГО РАСХОДА</w:t>
      </w:r>
    </w:p>
    <w:p w:rsidR="006B005E" w:rsidRDefault="002B0F0D">
      <w:pPr>
        <w:pStyle w:val="ConsPlusTitle"/>
        <w:jc w:val="center"/>
      </w:pPr>
      <w:r>
        <w:t>БЕЛОЯРСКОГО РАЙОНА И ПО</w:t>
      </w:r>
      <w:r>
        <w:t xml:space="preserve">СЕЛЕНИЙ В </w:t>
      </w:r>
      <w:proofErr w:type="gramStart"/>
      <w:r>
        <w:t>ГРАНИЦАХ</w:t>
      </w:r>
      <w:proofErr w:type="gramEnd"/>
      <w:r>
        <w:t xml:space="preserve"> БЕЛОЯРСКОГО РАЙОНА</w:t>
      </w:r>
    </w:p>
    <w:p w:rsidR="006B005E" w:rsidRDefault="006B005E">
      <w:pPr>
        <w:pStyle w:val="ConsPlusNormal"/>
      </w:pPr>
    </w:p>
    <w:p w:rsidR="006B005E" w:rsidRPr="002B0F0D" w:rsidRDefault="006B005E">
      <w:pPr>
        <w:rPr>
          <w:lang w:val="ru-RU"/>
        </w:rPr>
        <w:sectPr w:rsidR="006B005E" w:rsidRPr="002B0F0D">
          <w:pgSz w:w="11905" w:h="16838"/>
          <w:pgMar w:top="1440" w:right="1800" w:bottom="1440" w:left="1800" w:header="0" w:footer="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350"/>
        <w:gridCol w:w="2098"/>
      </w:tblGrid>
      <w:tr w:rsidR="006B005E">
        <w:tc>
          <w:tcPr>
            <w:tcW w:w="624" w:type="dxa"/>
          </w:tcPr>
          <w:p w:rsidR="006B005E" w:rsidRDefault="002B0F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6B005E" w:rsidRPr="002B0F0D">
        <w:tc>
          <w:tcPr>
            <w:tcW w:w="9072" w:type="dxa"/>
            <w:gridSpan w:val="3"/>
          </w:tcPr>
          <w:p w:rsidR="006B005E" w:rsidRDefault="002B0F0D">
            <w:pPr>
              <w:pStyle w:val="ConsPlusNormal"/>
              <w:outlineLvl w:val="2"/>
            </w:pPr>
            <w:r>
              <w:t>I. Нормативные характеристики налогового расхода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Нормативные правовые акты органов местного самоуправления района (поселений), которыми </w:t>
            </w:r>
            <w:r>
              <w:t>предусматриваются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перечень налоговых расходов</w:t>
            </w:r>
          </w:p>
        </w:tc>
      </w:tr>
      <w:tr w:rsidR="006B005E" w:rsidRPr="002B0F0D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орга</w:t>
            </w:r>
            <w:r>
              <w:t>нов местного самоуправления района (поселений)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Комитет по финансам и налоговой политике администрации района (далее - уполномоченный орган)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3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</w:t>
            </w:r>
            <w:r>
              <w:t>ии,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перечень налоговых расходов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4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Даты вступления в силу нормативных правовых актов органов местного самоуправления района (поселений), устанавливающих налоговы</w:t>
            </w:r>
            <w:r>
              <w:t>е льготы, освобождения и иные преференции для плательщиков налогов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5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Даты начала действия предоставленных нормативными правовыми актами органов местного самоуправления района (поселений) права на налоговые льготы, освобождения и иные </w:t>
            </w:r>
            <w:r>
              <w:t>преференции по налогам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6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предоставленным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7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Дата </w:t>
            </w:r>
            <w:r>
              <w:t>прекращения действия налоговых льгот, освобождений и иных преференций по налогам, установленная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 w:rsidRPr="002B0F0D">
        <w:tc>
          <w:tcPr>
            <w:tcW w:w="9072" w:type="dxa"/>
            <w:gridSpan w:val="3"/>
          </w:tcPr>
          <w:p w:rsidR="006B005E" w:rsidRDefault="002B0F0D">
            <w:pPr>
              <w:pStyle w:val="ConsPlusNormal"/>
              <w:outlineLvl w:val="2"/>
            </w:pPr>
            <w:r>
              <w:t>II. Целевые характеристики налогового расхода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8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9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Целевая категория налоговых расходов района (поселений)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10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Цели предоставления налоговых льгот, освобождений и иных преференций для </w:t>
            </w:r>
            <w:r>
              <w:t>плательщиков налогов, установленных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перечень налоговых расходов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11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Наименование налогов, по которым предусматриваются налоговые льготы, освобождения и иные преференции, устан</w:t>
            </w:r>
            <w:r>
              <w:t>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перечень налоговых расходов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12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</w:t>
            </w:r>
            <w:r>
              <w:t xml:space="preserve">ов преимуществ по сравнению с другими </w:t>
            </w:r>
            <w:r>
              <w:lastRenderedPageBreak/>
              <w:t>плательщиками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lastRenderedPageBreak/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14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Наименование муниципальной </w:t>
            </w:r>
            <w:r>
              <w:t>программы района (поселений), наименования нормативных правовых актов, определяющих цели социально-экономической политики района (поселений), не относящихся к муниципальным программам района (поселений), для реализации которых предоставляются налоговые льг</w:t>
            </w:r>
            <w:r>
              <w:t>оты, освобождения и иные преференции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перечень налоговых расходов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15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Наименования структурных элементов муниципальных программ района (поселений),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льготы, освобождения и иные преференции для плательщиков</w:t>
            </w:r>
            <w:r>
              <w:t xml:space="preserve"> налогов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перечень налоговых расходов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16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Показатели (индикаторы)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в с</w:t>
            </w:r>
            <w:r>
              <w:t>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перечень налоговых расходов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17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</w:t>
            </w:r>
            <w:r>
              <w:t>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bookmarkStart w:id="0" w:name="P201"/>
            <w:bookmarkEnd w:id="0"/>
            <w:r>
              <w:t>18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Значения показателей (индикаторов) достижения целей государственных программ автономного округа и (или) целей социально-экономической политики автономного округа, не относящихся к государственным программам автономного округа, в связи с предоставлен</w:t>
            </w:r>
            <w:r>
              <w:t>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куратор налогового расхода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bookmarkStart w:id="1" w:name="P204"/>
            <w:bookmarkEnd w:id="1"/>
            <w:r>
              <w:t>19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Прогнозные (оценочные) значения показателей (индикаторов) достижения целей государственных программ автономного округа и (или) целей </w:t>
            </w:r>
            <w:r>
              <w:t>социально-экономической политики автономного округа, не относящихся к государственным программам автономного округа, в связи с предоставлением налоговых льгот, освобождений и иных преференций для плательщиков налогов на текущий финансовый год, очередной фи</w:t>
            </w:r>
            <w:r>
              <w:t>нансовый год и плановый период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куратор налогового расхода</w:t>
            </w:r>
          </w:p>
        </w:tc>
      </w:tr>
      <w:tr w:rsidR="006B005E" w:rsidRPr="002B0F0D">
        <w:tc>
          <w:tcPr>
            <w:tcW w:w="9072" w:type="dxa"/>
            <w:gridSpan w:val="3"/>
          </w:tcPr>
          <w:p w:rsidR="006B005E" w:rsidRDefault="002B0F0D">
            <w:pPr>
              <w:pStyle w:val="ConsPlusNormal"/>
              <w:outlineLvl w:val="2"/>
            </w:pPr>
            <w:r>
              <w:t>III. Фискальные характеристики налогового расхода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bookmarkStart w:id="2" w:name="P208"/>
            <w:bookmarkEnd w:id="2"/>
            <w:r>
              <w:t>20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</w:t>
            </w:r>
            <w:r>
              <w:t>актами органов местного самоуправления района (поселений) за отчетный финансовый год и за год, предшествующий отчетному году (тыс. рублей)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налоговая инспекция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21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Оценка объема налоговых льгот, освобождений и иных преференций для плательщиков налогов, </w:t>
            </w:r>
            <w:r>
              <w:t>предоставленных (планируемых к предоставлению), в соответствии с нормативными правовыми актами органов местного самоуправления района (поселений)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уполномоченный орган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bookmarkStart w:id="3" w:name="P214"/>
            <w:bookmarkEnd w:id="3"/>
            <w:r>
              <w:lastRenderedPageBreak/>
              <w:t>22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proofErr w:type="gramStart"/>
            <w:r>
              <w:t>О</w:t>
            </w:r>
            <w:r>
              <w:t>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налоговая инспекция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23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Численность плательщиков налогов, воспользовавшихся правом на получение налоговых льгот, освобождений и иных преференций, установленных нормативными правовым</w:t>
            </w:r>
            <w:r>
              <w:t>и актами органов местного самоуправления района (поселений) в отчетном финансовом году (единиц)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налоговая инспекция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r>
              <w:t>24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 xml:space="preserve">Базовый объем налогов, задекларированный для уплаты в бюджет района (поселений) плательщиками налогов, имеющими право на налоговые </w:t>
            </w:r>
            <w:r>
              <w:t>льготы, освобождения, иные преференции, установленные нормативными правовыми актами органов местного самоуправления района (поселений) (тыс. рублей)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налоговая инспекция</w:t>
            </w:r>
          </w:p>
        </w:tc>
      </w:tr>
      <w:tr w:rsidR="006B005E">
        <w:tc>
          <w:tcPr>
            <w:tcW w:w="624" w:type="dxa"/>
          </w:tcPr>
          <w:p w:rsidR="006B005E" w:rsidRDefault="002B0F0D">
            <w:pPr>
              <w:pStyle w:val="ConsPlusNormal"/>
            </w:pPr>
            <w:bookmarkStart w:id="4" w:name="P223"/>
            <w:bookmarkEnd w:id="4"/>
            <w:r>
              <w:t>25</w:t>
            </w:r>
          </w:p>
        </w:tc>
        <w:tc>
          <w:tcPr>
            <w:tcW w:w="6350" w:type="dxa"/>
          </w:tcPr>
          <w:p w:rsidR="006B005E" w:rsidRDefault="002B0F0D">
            <w:pPr>
              <w:pStyle w:val="ConsPlusNormal"/>
            </w:pPr>
            <w:r>
              <w:t>Объем налогов, задекларированный для уплаты в бюджет района (поселений) плательщика</w:t>
            </w:r>
            <w:r>
              <w:t>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района (поселений), за 6 лет, предшествующих отчетному финансовому году (тыс. рублей)</w:t>
            </w:r>
          </w:p>
        </w:tc>
        <w:tc>
          <w:tcPr>
            <w:tcW w:w="2098" w:type="dxa"/>
          </w:tcPr>
          <w:p w:rsidR="006B005E" w:rsidRDefault="002B0F0D">
            <w:pPr>
              <w:pStyle w:val="ConsPlusNormal"/>
            </w:pPr>
            <w:r>
              <w:t>налоговая инс</w:t>
            </w:r>
            <w:r>
              <w:t>пекция</w:t>
            </w:r>
          </w:p>
        </w:tc>
      </w:tr>
    </w:tbl>
    <w:p w:rsidR="006B005E" w:rsidRDefault="006B005E">
      <w:pPr>
        <w:pStyle w:val="ConsPlusNormal"/>
        <w:ind w:firstLine="540"/>
        <w:jc w:val="both"/>
      </w:pPr>
    </w:p>
    <w:p w:rsidR="006B005E" w:rsidRDefault="006B005E">
      <w:pPr>
        <w:pStyle w:val="ConsPlusNormal"/>
        <w:ind w:firstLine="540"/>
        <w:jc w:val="both"/>
      </w:pPr>
    </w:p>
    <w:p w:rsidR="006B005E" w:rsidRDefault="006B0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05E" w:rsidRDefault="006B005E">
      <w:bookmarkStart w:id="5" w:name="_GoBack"/>
      <w:bookmarkEnd w:id="5"/>
    </w:p>
    <w:sectPr w:rsidR="006B005E" w:rsidSect="006B00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7CC432D"/>
    <w:rsid w:val="002B0F0D"/>
    <w:rsid w:val="006B005E"/>
    <w:rsid w:val="47CC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05E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05E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rsid w:val="006B00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B005E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Cell">
    <w:name w:val="ConsPlusCell"/>
    <w:rsid w:val="006B00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B005E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Page">
    <w:name w:val="ConsPlusTitlePage"/>
    <w:rsid w:val="006B00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B005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B005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2E15F0DF96464D01E23B76E33244006254EEFA32A7003136616413192B7E36C1D2C1BFE80FF357F58B7A26AAAADC8Y5z2M" TargetMode="External"/><Relationship Id="rId13" Type="http://schemas.openxmlformats.org/officeDocument/2006/relationships/hyperlink" Target="consultantplus://offline/ref=9292E15F0DF96464D01E23B76E33244006254EEFA4207300156B4B4B39CBBBE16B12731EF991FF347D46B7AB73A3F99B170926644FE88BB0F05D5CF8YAz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92E15F0DF96464D01E3DBA785F734F032B19EAA52A7C5249394D1C669BBDB42B52754BBAD5F237794DE3FA30FDA0CA51422B6D53F48BBBYEzFM" TargetMode="External"/><Relationship Id="rId12" Type="http://schemas.openxmlformats.org/officeDocument/2006/relationships/hyperlink" Target="consultantplus://offline/ref=9292E15F0DF96464D01E23B76E33244006254EEFA4207300156B4B4B39CBBBE16B12731EF991FF347D46B7AB72A3F99B170926644FE88BB0F05D5CF8YAz8M" TargetMode="External"/><Relationship Id="rId17" Type="http://schemas.openxmlformats.org/officeDocument/2006/relationships/hyperlink" Target="consultantplus://offline/ref=9292E15F0DF96464D01E3DBA785F734F032713EBA22A7C5249394D1C669BBDB439522D47BAD7EC357458B5AB76YAz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92E15F0DF96464D01E23B76E33244006254EEFA4207300156B4B4B39CBBBE16B12731EF991FF347D46B7AA7CA3F99B170926644FE88BB0F05D5CF8YAz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92E15F0DF96464D01E3DBA785F734F032619E1A5217C5249394D1C669BBDB42B52754EBDD3FB3E2917F3FE79A8AFD4535535664DF4Y8zAM" TargetMode="External"/><Relationship Id="rId11" Type="http://schemas.openxmlformats.org/officeDocument/2006/relationships/hyperlink" Target="consultantplus://offline/ref=9292E15F0DF96464D01E3DBA785F734F032B19EAA52A7C5249394D1C669BBDB42B52754BBAD5F235744DE3FA30FDA0CA51422B6D53F48BBBYEzFM" TargetMode="External"/><Relationship Id="rId5" Type="http://schemas.openxmlformats.org/officeDocument/2006/relationships/hyperlink" Target="consultantplus://offline/ref=9292E15F0DF96464D01E23B76E33244006254EEFA4207300156B4B4B39CBBBE16B12731EF991FF347D46B7AB71A3F99B170926644FE88BB0F05D5CF8YAz8M" TargetMode="External"/><Relationship Id="rId15" Type="http://schemas.openxmlformats.org/officeDocument/2006/relationships/hyperlink" Target="consultantplus://offline/ref=9292E15F0DF96464D01E23B76E33244006254EEFA4207300156B4B4B39CBBBE16B12731EF991FF347D46B7AA73A3F99B170926644FE88BB0F05D5CF8YAz8M" TargetMode="External"/><Relationship Id="rId10" Type="http://schemas.openxmlformats.org/officeDocument/2006/relationships/hyperlink" Target="consultantplus://offline/ref=9292E15F0DF96464D01E23B76E33244006254EEFA4207300156B4B4B39CBBBE16B12731EF991FF347D46B7AB71A3F99B170926644FE88BB0F05D5CF8YAz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2E15F0DF96464D01E23B76E33244006254EEFA724720D106F4B4B39CBBBE16B12731EEB91A7387D44A9AB7DB6AFCA51Y5zDM" TargetMode="External"/><Relationship Id="rId14" Type="http://schemas.openxmlformats.org/officeDocument/2006/relationships/hyperlink" Target="consultantplus://offline/ref=9292E15F0DF96464D01E23B76E33244006254EEFA4207300156B4B4B39CBBBE16B12731EF991FF347D46B7AA72A3F99B170926644FE88BB0F05D5CF8YAz8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4414</Words>
  <Characters>25161</Characters>
  <Application>Microsoft Office Word</Application>
  <DocSecurity>0</DocSecurity>
  <Lines>209</Lines>
  <Paragraphs>59</Paragraphs>
  <ScaleCrop>false</ScaleCrop>
  <Company>КонсультантПлюс Версия 4020.00.61</Company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20.08.2020 N 738
(ред. от 08.06.2021)
"Об утверждении Порядка оценки налоговых расходов Белоярского района и поселений в границах Белоярского района"</dc:title>
  <dc:creator>OrlovaON</dc:creator>
  <cp:lastModifiedBy>Kalmairova</cp:lastModifiedBy>
  <cp:revision>3</cp:revision>
  <dcterms:created xsi:type="dcterms:W3CDTF">2021-09-03T04:02:00Z</dcterms:created>
  <dcterms:modified xsi:type="dcterms:W3CDTF">2021-09-03T04:05:00Z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